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  <w:r w:rsidRPr="00803634"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  <w:t>ВАШ ЛОГОТИП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  <w:r w:rsidRPr="00803634"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  <w:t>Уважаемые коллеги!!!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Основным инструментом, позволяющим понять и оценить финансовую отчетность организации, является </w:t>
      </w:r>
      <w:r w:rsidRPr="0080363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Положение об учетной политики казенного учреждения.</w:t>
      </w: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необходимости принятия налоговой учетной политики прописано в ряде положений Налогового кодекса РФ, а в законе «О бухгалтерском учете» есть отдельная статья, устанавливающая определение учетной политики в интересах бухгалтерского учета и необходимость ее наличия в организации. Обязанность учреждения - иметь Положение об учетной политике, прописана на уровне Федерального закона.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декабре 2015 года произошло много изменений законодательства в сфере бюджетного (бухгалтерского) учета и отчетности государственных (муниципальных) учреждений. 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Федеральные законы Российской Федерации</w:t>
      </w:r>
    </w:p>
    <w:p w:rsidR="00602D77" w:rsidRPr="00803634" w:rsidRDefault="00602D77" w:rsidP="00602D77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Федеральный закон от 08.05.2010 № 83-ФЗ </w:t>
      </w:r>
      <w:r w:rsidRPr="00803634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</w:t>
      </w:r>
      <w:r w:rsidRPr="0080363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ред. от 29.12.2015</w:t>
      </w:r>
      <w:proofErr w:type="gramStart"/>
      <w:r w:rsidRPr="00803634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)</w:t>
      </w:r>
      <w:r w:rsidRPr="0080363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</w:t>
      </w:r>
      <w:proofErr w:type="gramEnd"/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Приказы Министерства финансов Российской Федерации</w:t>
      </w:r>
    </w:p>
    <w:p w:rsidR="00602D77" w:rsidRPr="00803634" w:rsidRDefault="00602D77" w:rsidP="00602D77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№124н от </w:t>
      </w: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06.08.2015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);</w:t>
      </w:r>
    </w:p>
    <w:p w:rsidR="00602D77" w:rsidRPr="00803634" w:rsidRDefault="00602D77" w:rsidP="00602D77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 </w:t>
      </w:r>
    </w:p>
    <w:p w:rsidR="00602D77" w:rsidRPr="00803634" w:rsidRDefault="00602D77" w:rsidP="00602D77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6 декабря 2010 г. № 162н </w:t>
      </w: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(ред.№184н от 30.11.2015)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«Об утверждении Плана счетов бюджетного учета и Инструкции по его применению»;</w:t>
      </w:r>
    </w:p>
    <w:p w:rsidR="00602D77" w:rsidRPr="00803634" w:rsidRDefault="00602D77" w:rsidP="00602D77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28.12.2010 № 191н </w:t>
      </w: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(ред. №229н от 31.12.2015)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602D77" w:rsidRPr="00803634" w:rsidRDefault="00602D77" w:rsidP="00602D77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01.07.2013 N 65н (</w:t>
      </w: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№215н от 25.12.2015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) "Об утверждении Указаний о порядке применения бюджетной классификации Российской Федерации";</w:t>
      </w:r>
    </w:p>
    <w:p w:rsidR="00602D77" w:rsidRPr="00803634" w:rsidRDefault="00602D77" w:rsidP="00602D77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19.09.2008 N 98н (</w:t>
      </w:r>
      <w:r w:rsidRPr="0080363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№221н от 30.12.2015</w:t>
      </w:r>
      <w:r w:rsidRPr="00803634">
        <w:rPr>
          <w:rFonts w:ascii="Times New Roman" w:eastAsia="SimSun" w:hAnsi="Times New Roman" w:cs="Times New Roman"/>
          <w:sz w:val="20"/>
          <w:szCs w:val="20"/>
          <w:lang w:eastAsia="zh-CN"/>
        </w:rPr>
        <w:t>) "О Порядке учета бюджетных обязательств получателей средств федерального бюджета".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 связи с этим Положение об учетной политике 2016 года должно быть актуализировано серьезным образом.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>Предлагаем Вам Шаблон Положения об учетной политике для государственного (муниципального) учреждения (далее Учетная политика).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>Данная Учетная политика написана с учетом последних изменений в законодательстве, состоит из 6 разделов, общий объем более 120 страниц.</w:t>
      </w: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03634">
        <w:rPr>
          <w:rFonts w:ascii="Cambria" w:eastAsia="SimSun" w:hAnsi="Cambria" w:cs="Times New Roman"/>
          <w:b/>
          <w:sz w:val="28"/>
          <w:szCs w:val="28"/>
          <w:lang w:eastAsia="zh-CN"/>
        </w:rPr>
        <w:t>Содержание</w:t>
      </w: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03634">
        <w:rPr>
          <w:rFonts w:ascii="Cambria" w:eastAsia="SimSun" w:hAnsi="Cambria" w:cs="Times New Roman"/>
          <w:b/>
          <w:sz w:val="28"/>
          <w:szCs w:val="28"/>
          <w:lang w:eastAsia="zh-CN"/>
        </w:rPr>
        <w:t>Положения об учетной политике</w:t>
      </w:r>
    </w:p>
    <w:p w:rsidR="00602D77" w:rsidRPr="00803634" w:rsidRDefault="00602D77" w:rsidP="00602D77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03634">
        <w:rPr>
          <w:rFonts w:ascii="Cambria" w:eastAsia="SimSun" w:hAnsi="Cambria" w:cs="Times New Roman"/>
          <w:b/>
          <w:sz w:val="28"/>
          <w:szCs w:val="28"/>
          <w:lang w:eastAsia="zh-CN"/>
        </w:rPr>
        <w:t>казенного учреждения</w:t>
      </w:r>
    </w:p>
    <w:p w:rsidR="00602D77" w:rsidRPr="00803634" w:rsidRDefault="00602D77" w:rsidP="00602D77">
      <w:pPr>
        <w:spacing w:after="0" w:line="240" w:lineRule="auto"/>
        <w:ind w:firstLine="709"/>
        <w:jc w:val="both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lang w:eastAsia="ar-SA"/>
        </w:rPr>
        <w:t>Раздел 1. Общие вопросы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lang w:eastAsia="ar-SA"/>
        </w:rPr>
        <w:t>Раздел 2. Нормативные документы, разъяснения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lang w:eastAsia="ar-SA"/>
        </w:rPr>
        <w:t>Раздел 3. Организационный раздел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3.1 Способ обработки и хранения учетной информации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3.2 Порядок документооборота и ответственные лица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3.3 Рабочий план счетов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3.4 Первичные учетные документы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3.5 Регистры бухгалтерского учета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3.6 Регистры налогового учета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3.7 Инвентаризация активов и обязательств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3.8 Внутренняя и регламентированная отчетность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3.9 Организация внутреннего контроля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lang w:eastAsia="ar-SA"/>
        </w:rPr>
        <w:t>Раздел 4. Методологический раздел для целей бухгалтерского (бюджетного) учета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4.1 Общие положения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4.2 Основные средства, нематериальные активы и непроизведенные активы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4.3 Материальные запасы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4.4 Денежные средства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4.5 Денежные документы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4.6 Расчеты по доходам, ущербу и иным доходам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4.7 Доходы будущих периодов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4.8 Расходы будущих периодов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4.9 Расчеты с подотчетными лицами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4.10 Расходы по оплате труда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4.11 Резервы предстоящих расходов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 xml:space="preserve">4.12 Событие после отчетной даты 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>4.13 Учет обязательств</w:t>
      </w:r>
    </w:p>
    <w:p w:rsidR="00602D77" w:rsidRPr="00803634" w:rsidRDefault="00602D77" w:rsidP="00602D77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03634">
        <w:rPr>
          <w:rFonts w:ascii="Times New Roman" w:eastAsia="Lucida Sans Unicode" w:hAnsi="Times New Roman" w:cs="Times New Roman"/>
          <w:lang w:eastAsia="ar-SA"/>
        </w:rPr>
        <w:t xml:space="preserve">4.14 Учет на </w:t>
      </w:r>
      <w:proofErr w:type="spellStart"/>
      <w:r w:rsidRPr="00803634">
        <w:rPr>
          <w:rFonts w:ascii="Times New Roman" w:eastAsia="Lucida Sans Unicode" w:hAnsi="Times New Roman" w:cs="Times New Roman"/>
          <w:lang w:eastAsia="ar-SA"/>
        </w:rPr>
        <w:t>забалансовых</w:t>
      </w:r>
      <w:proofErr w:type="spellEnd"/>
      <w:r w:rsidRPr="00803634">
        <w:rPr>
          <w:rFonts w:ascii="Times New Roman" w:eastAsia="Lucida Sans Unicode" w:hAnsi="Times New Roman" w:cs="Times New Roman"/>
          <w:lang w:eastAsia="ar-SA"/>
        </w:rPr>
        <w:t xml:space="preserve"> счетах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bCs/>
          <w:lang w:eastAsia="ar-SA"/>
        </w:rPr>
        <w:t>Раздел 5. Методологический раздел для целей налогового учета</w:t>
      </w:r>
    </w:p>
    <w:p w:rsidR="00602D77" w:rsidRPr="00803634" w:rsidRDefault="00602D77" w:rsidP="00602D77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5.1 Налог на прибыль</w:t>
      </w:r>
    </w:p>
    <w:p w:rsidR="00602D77" w:rsidRPr="00803634" w:rsidRDefault="00602D77" w:rsidP="00602D77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5.2 НДС</w:t>
      </w:r>
    </w:p>
    <w:p w:rsidR="00602D77" w:rsidRPr="00803634" w:rsidRDefault="00602D77" w:rsidP="00602D77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5.3 Налог на имущество</w:t>
      </w:r>
    </w:p>
    <w:p w:rsidR="00602D77" w:rsidRPr="00803634" w:rsidRDefault="00602D77" w:rsidP="00602D77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/>
          <w:bCs/>
          <w:lang w:eastAsia="ar-SA"/>
        </w:rPr>
        <w:t>Раздел 6. Приложения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 Рабочий план счетов учреждения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6.2 Порядок документооборота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6.3 Перечень применяемых первичных документов дополнительно к предусмотренным Приказом Минфина РФ №52н и их формы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6.4 Перечень должностных лиц, имеющих право подписи первичных документов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 xml:space="preserve">6.5 Перечень регистров бухгалтерского </w:t>
      </w:r>
      <w:proofErr w:type="gramStart"/>
      <w:r w:rsidRPr="00803634">
        <w:rPr>
          <w:rFonts w:ascii="Times New Roman" w:eastAsia="Lucida Sans Unicode" w:hAnsi="Times New Roman" w:cs="Times New Roman"/>
          <w:bCs/>
          <w:lang w:eastAsia="ar-SA"/>
        </w:rPr>
        <w:t>учета,  установленный</w:t>
      </w:r>
      <w:proofErr w:type="gramEnd"/>
      <w:r w:rsidRPr="00803634">
        <w:rPr>
          <w:rFonts w:ascii="Times New Roman" w:eastAsia="Lucida Sans Unicode" w:hAnsi="Times New Roman" w:cs="Times New Roman"/>
          <w:bCs/>
          <w:lang w:eastAsia="ar-SA"/>
        </w:rPr>
        <w:t xml:space="preserve"> Инструкциями №157н, №52н, а также перечень регистров бухгалтерского учета применяемых дополнительно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6.6 Перечень сотрудников (должностей), которым разрешена выдача наличных денежных средств под отчет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6.7 Сроки хранения документов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6.8 Перечень регистров налогового учета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proofErr w:type="gramStart"/>
      <w:r w:rsidRPr="00803634">
        <w:rPr>
          <w:rFonts w:ascii="Times New Roman" w:eastAsia="Lucida Sans Unicode" w:hAnsi="Times New Roman" w:cs="Times New Roman"/>
          <w:bCs/>
          <w:lang w:eastAsia="ar-SA"/>
        </w:rPr>
        <w:t>6.9  План</w:t>
      </w:r>
      <w:proofErr w:type="gramEnd"/>
      <w:r w:rsidRPr="00803634">
        <w:rPr>
          <w:rFonts w:ascii="Times New Roman" w:eastAsia="Lucida Sans Unicode" w:hAnsi="Times New Roman" w:cs="Times New Roman"/>
          <w:bCs/>
          <w:lang w:eastAsia="ar-SA"/>
        </w:rPr>
        <w:t xml:space="preserve"> проведения инвентаризаций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6.10 Состав постоянно действующей комиссии для проведения инвентаризации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6.11 Состав комиссии, осуществляющей внезапную проверку кассы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6.12 Перечень форм регламентированной бухгалтерской отчетности учреждения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6.13 Состав комиссии по поступлению и выбытию имущества учреждения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6.14 Порядок выдачи наличных денежных средств под отчет</w:t>
      </w:r>
    </w:p>
    <w:p w:rsidR="00602D77" w:rsidRPr="00803634" w:rsidRDefault="00602D77" w:rsidP="00602D77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lastRenderedPageBreak/>
        <w:t>6.15 Положение о постоянно действующей инвентаризационной комиссии</w:t>
      </w:r>
    </w:p>
    <w:p w:rsidR="00602D77" w:rsidRPr="00803634" w:rsidRDefault="00602D77" w:rsidP="00602D77">
      <w:pPr>
        <w:keepLines/>
        <w:widowControl w:val="0"/>
        <w:tabs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6.16 Перечень первичных документов, закрепленных за однотипными фактами хозяйственной жизни</w:t>
      </w:r>
    </w:p>
    <w:p w:rsidR="00602D77" w:rsidRPr="00803634" w:rsidRDefault="00602D77" w:rsidP="00602D77">
      <w:pPr>
        <w:keepLines/>
        <w:widowControl w:val="0"/>
        <w:tabs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Cambria" w:eastAsia="SimSun" w:hAnsi="Cambria" w:cs="Times New Roman"/>
          <w:b/>
          <w:lang w:eastAsia="zh-CN"/>
        </w:rPr>
      </w:pPr>
      <w:r w:rsidRPr="00803634">
        <w:rPr>
          <w:rFonts w:ascii="Times New Roman" w:eastAsia="Lucida Sans Unicode" w:hAnsi="Times New Roman" w:cs="Times New Roman"/>
          <w:bCs/>
          <w:lang w:eastAsia="ar-SA"/>
        </w:rPr>
        <w:t>6.17 Положение о внутреннем финансовом контроле учреждения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Учетная политика написана доступным языком, позволит Вам разобраться в изменениях в законодательстве без особых усилий, затратив при том минимум времени. Вам останется всего лишь внести наименование своей организации, и обратить внимание на текст, выделенный желтым и зеленым цветом – при необходимости внести изменения. </w:t>
      </w:r>
    </w:p>
    <w:p w:rsidR="00602D77" w:rsidRPr="00803634" w:rsidRDefault="00602D77" w:rsidP="00602D7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Разработчиками учетной политики являются высококвалифицированные специалисты, в том числе Профессиональный бухгалтер </w:t>
      </w:r>
      <w:r w:rsidRPr="0080363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государственных (муниципальных) учреждений (Действительный член Международной Федерации профессиональных бухгалтеров), что </w:t>
      </w:r>
      <w:proofErr w:type="gramStart"/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обеспечивает,   </w:t>
      </w:r>
      <w:proofErr w:type="gramEnd"/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>полный охват (учтены все аспекты бухгалтерского и налогового учета), точные формулировки и отсутствие,   противоречий.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0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 всегда можете совершенствовать свою Учетную политику, добавляя новые приложения или главы! 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03634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Сэкономьте время - </w:t>
      </w:r>
      <w:proofErr w:type="gramStart"/>
      <w:r w:rsidRPr="00803634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закажите  Шаблон</w:t>
      </w:r>
      <w:proofErr w:type="gramEnd"/>
      <w:r w:rsidRPr="00803634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учетной политики!</w:t>
      </w: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602D77" w:rsidRPr="00803634" w:rsidRDefault="00602D77" w:rsidP="00602D77">
      <w:pPr>
        <w:keepLines/>
        <w:widowControl w:val="0"/>
        <w:spacing w:after="0" w:line="240" w:lineRule="auto"/>
        <w:ind w:left="-284" w:firstLine="708"/>
        <w:jc w:val="center"/>
        <w:rPr>
          <w:rFonts w:ascii="Calibri" w:eastAsia="SimSun" w:hAnsi="Calibri" w:cs="Calibri"/>
          <w:b/>
          <w:bCs/>
          <w:i/>
          <w:sz w:val="32"/>
          <w:szCs w:val="32"/>
          <w:u w:val="single"/>
          <w:lang w:eastAsia="zh-CN"/>
        </w:rPr>
      </w:pPr>
      <w:r w:rsidRPr="00803634">
        <w:rPr>
          <w:rFonts w:ascii="Calibri" w:eastAsia="SimSun" w:hAnsi="Calibri" w:cs="Calibri"/>
          <w:b/>
          <w:bCs/>
          <w:i/>
          <w:sz w:val="32"/>
          <w:szCs w:val="32"/>
          <w:u w:val="single"/>
          <w:lang w:eastAsia="zh-CN"/>
        </w:rPr>
        <w:t>Ваша контактная информация</w:t>
      </w:r>
    </w:p>
    <w:p w:rsidR="00A6109A" w:rsidRDefault="00A6109A">
      <w:bookmarkStart w:id="0" w:name="_GoBack"/>
      <w:bookmarkEnd w:id="0"/>
    </w:p>
    <w:sectPr w:rsidR="00A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0B10"/>
    <w:multiLevelType w:val="hybridMultilevel"/>
    <w:tmpl w:val="2EB42E8E"/>
    <w:lvl w:ilvl="0" w:tplc="D17060D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77"/>
    <w:rsid w:val="00602D77"/>
    <w:rsid w:val="00A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C160-BF52-4A51-B7FC-17556FC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2016-05-29T14:04:00Z</dcterms:created>
  <dcterms:modified xsi:type="dcterms:W3CDTF">2016-05-29T14:05:00Z</dcterms:modified>
</cp:coreProperties>
</file>